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EEF" w:rsidRDefault="00F61C1C" w:rsidP="00373EEF">
      <w:pPr>
        <w:rPr>
          <w:b/>
          <w:sz w:val="28"/>
          <w:szCs w:val="28"/>
        </w:rPr>
      </w:pPr>
      <w:bookmarkStart w:id="0" w:name="_GoBack"/>
      <w:bookmarkEnd w:id="0"/>
      <w:r>
        <w:rPr>
          <w:b/>
          <w:noProof/>
          <w:sz w:val="28"/>
          <w:szCs w:val="28"/>
        </w:rPr>
        <w:drawing>
          <wp:anchor distT="0" distB="0" distL="114300" distR="114300" simplePos="0" relativeHeight="251660288" behindDoc="1" locked="0" layoutInCell="1" allowOverlap="1">
            <wp:simplePos x="0" y="0"/>
            <wp:positionH relativeFrom="column">
              <wp:posOffset>4657090</wp:posOffset>
            </wp:positionH>
            <wp:positionV relativeFrom="paragraph">
              <wp:posOffset>95250</wp:posOffset>
            </wp:positionV>
            <wp:extent cx="1143000" cy="1362075"/>
            <wp:effectExtent l="19050" t="0" r="0" b="0"/>
            <wp:wrapTight wrapText="bothSides">
              <wp:wrapPolygon edited="0">
                <wp:start x="-360" y="0"/>
                <wp:lineTo x="-360" y="19938"/>
                <wp:lineTo x="5040" y="21147"/>
                <wp:lineTo x="7920" y="21147"/>
                <wp:lineTo x="12600" y="21147"/>
                <wp:lineTo x="15120" y="21147"/>
                <wp:lineTo x="21600" y="19938"/>
                <wp:lineTo x="21600" y="0"/>
                <wp:lineTo x="-360" y="0"/>
              </wp:wrapPolygon>
            </wp:wrapTight>
            <wp:docPr id="2" name="Picture 1" descr="International Outreach Committee-Logo-B-Transparency compl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tional Outreach Committee-Logo-B-Transparency complete.png"/>
                    <pic:cNvPicPr/>
                  </pic:nvPicPr>
                  <pic:blipFill>
                    <a:blip r:embed="rId6" cstate="print"/>
                    <a:stretch>
                      <a:fillRect/>
                    </a:stretch>
                  </pic:blipFill>
                  <pic:spPr>
                    <a:xfrm>
                      <a:off x="0" y="0"/>
                      <a:ext cx="1143000" cy="1362075"/>
                    </a:xfrm>
                    <a:prstGeom prst="rect">
                      <a:avLst/>
                    </a:prstGeom>
                  </pic:spPr>
                </pic:pic>
              </a:graphicData>
            </a:graphic>
          </wp:anchor>
        </w:drawing>
      </w:r>
      <w:r>
        <w:rPr>
          <w:b/>
          <w:noProof/>
          <w:sz w:val="28"/>
          <w:szCs w:val="28"/>
        </w:rPr>
        <w:drawing>
          <wp:anchor distT="0" distB="0" distL="114300" distR="114300" simplePos="0" relativeHeight="251659264" behindDoc="1" locked="0" layoutInCell="1" allowOverlap="1">
            <wp:simplePos x="0" y="0"/>
            <wp:positionH relativeFrom="column">
              <wp:posOffset>95250</wp:posOffset>
            </wp:positionH>
            <wp:positionV relativeFrom="paragraph">
              <wp:posOffset>133350</wp:posOffset>
            </wp:positionV>
            <wp:extent cx="1028700" cy="1234440"/>
            <wp:effectExtent l="19050" t="0" r="0" b="0"/>
            <wp:wrapTight wrapText="bothSides">
              <wp:wrapPolygon edited="0">
                <wp:start x="-400" y="0"/>
                <wp:lineTo x="-400" y="21333"/>
                <wp:lineTo x="21200" y="21333"/>
                <wp:lineTo x="21600" y="5667"/>
                <wp:lineTo x="21600" y="1333"/>
                <wp:lineTo x="21200" y="0"/>
                <wp:lineTo x="-400" y="0"/>
              </wp:wrapPolygon>
            </wp:wrapTight>
            <wp:docPr id="1" name="Picture 0" descr="AAZ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ZK logo.png"/>
                    <pic:cNvPicPr/>
                  </pic:nvPicPr>
                  <pic:blipFill>
                    <a:blip r:embed="rId7" cstate="print"/>
                    <a:stretch>
                      <a:fillRect/>
                    </a:stretch>
                  </pic:blipFill>
                  <pic:spPr>
                    <a:xfrm>
                      <a:off x="0" y="0"/>
                      <a:ext cx="1028700" cy="1234440"/>
                    </a:xfrm>
                    <a:prstGeom prst="rect">
                      <a:avLst/>
                    </a:prstGeom>
                  </pic:spPr>
                </pic:pic>
              </a:graphicData>
            </a:graphic>
          </wp:anchor>
        </w:drawing>
      </w:r>
    </w:p>
    <w:p w:rsidR="00373EEF" w:rsidRDefault="00373EEF" w:rsidP="00373EEF">
      <w:pPr>
        <w:rPr>
          <w:b/>
          <w:sz w:val="28"/>
          <w:szCs w:val="28"/>
        </w:rPr>
      </w:pPr>
    </w:p>
    <w:p w:rsidR="00373EEF" w:rsidRDefault="00373EEF" w:rsidP="00373EEF">
      <w:pPr>
        <w:rPr>
          <w:b/>
          <w:sz w:val="28"/>
          <w:szCs w:val="28"/>
        </w:rPr>
      </w:pPr>
    </w:p>
    <w:p w:rsidR="00373EEF" w:rsidRDefault="00373EEF" w:rsidP="00373EEF">
      <w:pPr>
        <w:rPr>
          <w:b/>
          <w:sz w:val="28"/>
          <w:szCs w:val="28"/>
        </w:rPr>
      </w:pPr>
    </w:p>
    <w:p w:rsidR="00373EEF" w:rsidRPr="00634671" w:rsidRDefault="00373EEF" w:rsidP="00373EEF">
      <w:pPr>
        <w:jc w:val="center"/>
        <w:rPr>
          <w:b/>
          <w:sz w:val="28"/>
          <w:szCs w:val="28"/>
        </w:rPr>
      </w:pPr>
      <w:r>
        <w:rPr>
          <w:b/>
          <w:sz w:val="28"/>
          <w:szCs w:val="28"/>
        </w:rPr>
        <w:t>THE AMERICAN ASSOCIATION OF ZOO KEEPERS</w:t>
      </w:r>
      <w:r>
        <w:rPr>
          <w:b/>
          <w:sz w:val="28"/>
          <w:szCs w:val="28"/>
        </w:rPr>
        <w:br/>
        <w:t xml:space="preserve">INTERNATIONAL OUTREACH COMMITTEE </w:t>
      </w:r>
      <w:r>
        <w:rPr>
          <w:b/>
          <w:sz w:val="28"/>
          <w:szCs w:val="28"/>
        </w:rPr>
        <w:br/>
        <w:t>TEACHING PROGRAM</w:t>
      </w:r>
    </w:p>
    <w:p w:rsidR="009A35CE" w:rsidRDefault="00373EEF">
      <w:pPr>
        <w:rPr>
          <w:sz w:val="24"/>
          <w:szCs w:val="24"/>
        </w:rPr>
      </w:pPr>
      <w:r>
        <w:rPr>
          <w:sz w:val="24"/>
          <w:szCs w:val="24"/>
        </w:rPr>
        <w:t xml:space="preserve">The American Association of Zoo Keepers (AAZK) and the International Outreach Committee (IOC) have developed a Teaching Program aimed at assisting animal care </w:t>
      </w:r>
      <w:r w:rsidR="00680954">
        <w:rPr>
          <w:sz w:val="24"/>
          <w:szCs w:val="24"/>
        </w:rPr>
        <w:t>professionals</w:t>
      </w:r>
      <w:r>
        <w:rPr>
          <w:sz w:val="24"/>
          <w:szCs w:val="24"/>
        </w:rPr>
        <w:t xml:space="preserve"> in Latin American countries by providing training and mentorship in the animal care field.</w:t>
      </w:r>
    </w:p>
    <w:p w:rsidR="00373EEF" w:rsidRDefault="00373EEF">
      <w:pPr>
        <w:rPr>
          <w:sz w:val="24"/>
          <w:szCs w:val="24"/>
        </w:rPr>
      </w:pPr>
      <w:r>
        <w:rPr>
          <w:sz w:val="24"/>
          <w:szCs w:val="24"/>
        </w:rPr>
        <w:t xml:space="preserve">The following information outlines </w:t>
      </w:r>
      <w:r w:rsidR="00F61C1C">
        <w:rPr>
          <w:sz w:val="24"/>
          <w:szCs w:val="24"/>
        </w:rPr>
        <w:t xml:space="preserve">requirements needed for the program and </w:t>
      </w:r>
      <w:r>
        <w:rPr>
          <w:sz w:val="24"/>
          <w:szCs w:val="24"/>
        </w:rPr>
        <w:t xml:space="preserve">how individuals can </w:t>
      </w:r>
      <w:r w:rsidR="006A2AE3">
        <w:rPr>
          <w:sz w:val="24"/>
          <w:szCs w:val="24"/>
        </w:rPr>
        <w:t xml:space="preserve">begin a </w:t>
      </w:r>
      <w:r>
        <w:rPr>
          <w:sz w:val="24"/>
          <w:szCs w:val="24"/>
        </w:rPr>
        <w:t xml:space="preserve">request </w:t>
      </w:r>
      <w:r w:rsidR="006A2AE3">
        <w:rPr>
          <w:sz w:val="24"/>
          <w:szCs w:val="24"/>
        </w:rPr>
        <w:t>for a</w:t>
      </w:r>
      <w:r>
        <w:rPr>
          <w:sz w:val="24"/>
          <w:szCs w:val="24"/>
        </w:rPr>
        <w:t xml:space="preserve"> Teaching Program </w:t>
      </w:r>
      <w:r w:rsidR="00F61C1C">
        <w:rPr>
          <w:sz w:val="24"/>
          <w:szCs w:val="24"/>
        </w:rPr>
        <w:t>to be held at</w:t>
      </w:r>
      <w:r>
        <w:rPr>
          <w:sz w:val="24"/>
          <w:szCs w:val="24"/>
        </w:rPr>
        <w:t xml:space="preserve"> their institution and</w:t>
      </w:r>
      <w:r w:rsidR="00F61C1C">
        <w:rPr>
          <w:sz w:val="24"/>
          <w:szCs w:val="24"/>
        </w:rPr>
        <w:t>/or for their</w:t>
      </w:r>
      <w:r>
        <w:rPr>
          <w:sz w:val="24"/>
          <w:szCs w:val="24"/>
        </w:rPr>
        <w:t xml:space="preserve"> personnel.</w:t>
      </w:r>
    </w:p>
    <w:p w:rsidR="00373EEF" w:rsidRDefault="00F8773F">
      <w:pPr>
        <w:rPr>
          <w:sz w:val="24"/>
          <w:szCs w:val="24"/>
        </w:rPr>
      </w:pPr>
      <w:r>
        <w:rPr>
          <w:b/>
          <w:sz w:val="24"/>
          <w:szCs w:val="24"/>
        </w:rPr>
        <w:t>The Teaching Program</w:t>
      </w:r>
      <w:r w:rsidR="00373EEF">
        <w:rPr>
          <w:b/>
          <w:sz w:val="24"/>
          <w:szCs w:val="24"/>
        </w:rPr>
        <w:t>:</w:t>
      </w:r>
    </w:p>
    <w:p w:rsidR="00373EEF" w:rsidRDefault="00373EEF">
      <w:pPr>
        <w:rPr>
          <w:sz w:val="24"/>
          <w:szCs w:val="24"/>
        </w:rPr>
      </w:pPr>
      <w:r>
        <w:rPr>
          <w:sz w:val="24"/>
          <w:szCs w:val="24"/>
        </w:rPr>
        <w:t xml:space="preserve">The IOC’s Teaching Program </w:t>
      </w:r>
      <w:r w:rsidR="00F8773F">
        <w:rPr>
          <w:sz w:val="24"/>
          <w:szCs w:val="24"/>
        </w:rPr>
        <w:t xml:space="preserve">is a training opportunity for Latin American animal care </w:t>
      </w:r>
      <w:r w:rsidR="00F61C1C">
        <w:rPr>
          <w:sz w:val="24"/>
          <w:szCs w:val="24"/>
        </w:rPr>
        <w:t>professionals that consist</w:t>
      </w:r>
      <w:r>
        <w:rPr>
          <w:sz w:val="24"/>
          <w:szCs w:val="24"/>
        </w:rPr>
        <w:t xml:space="preserve"> of lectures and wo</w:t>
      </w:r>
      <w:r w:rsidR="00F8773F">
        <w:rPr>
          <w:sz w:val="24"/>
          <w:szCs w:val="24"/>
        </w:rPr>
        <w:t xml:space="preserve">rkshops in topics that cover information regarding up to date </w:t>
      </w:r>
      <w:r w:rsidR="00F61C1C">
        <w:rPr>
          <w:sz w:val="24"/>
          <w:szCs w:val="24"/>
        </w:rPr>
        <w:t>developments</w:t>
      </w:r>
      <w:r w:rsidR="00F8773F">
        <w:rPr>
          <w:sz w:val="24"/>
          <w:szCs w:val="24"/>
        </w:rPr>
        <w:t xml:space="preserve"> in the animal care field. Topics vary </w:t>
      </w:r>
      <w:r w:rsidR="002570C9">
        <w:rPr>
          <w:sz w:val="24"/>
          <w:szCs w:val="24"/>
        </w:rPr>
        <w:t>for</w:t>
      </w:r>
      <w:r w:rsidR="00F8773F">
        <w:rPr>
          <w:sz w:val="24"/>
          <w:szCs w:val="24"/>
        </w:rPr>
        <w:t xml:space="preserve"> each program</w:t>
      </w:r>
      <w:r w:rsidR="002570C9">
        <w:rPr>
          <w:sz w:val="24"/>
          <w:szCs w:val="24"/>
        </w:rPr>
        <w:t xml:space="preserve">, as requesting institution needs will dictate the overall program, </w:t>
      </w:r>
      <w:r w:rsidR="00F8773F">
        <w:rPr>
          <w:sz w:val="24"/>
          <w:szCs w:val="24"/>
        </w:rPr>
        <w:t xml:space="preserve">but will always include the latest advances in the animal care field, such as animal welfare, training, husbandry, enrichment, nutrition, and documentation. </w:t>
      </w:r>
    </w:p>
    <w:p w:rsidR="00F8773F" w:rsidRDefault="00F8773F">
      <w:pPr>
        <w:rPr>
          <w:sz w:val="24"/>
          <w:szCs w:val="24"/>
        </w:rPr>
      </w:pPr>
      <w:r>
        <w:rPr>
          <w:sz w:val="24"/>
          <w:szCs w:val="24"/>
        </w:rPr>
        <w:t xml:space="preserve">Topics may also include subjects that increase professional </w:t>
      </w:r>
      <w:r w:rsidR="00680954">
        <w:rPr>
          <w:sz w:val="24"/>
          <w:szCs w:val="24"/>
        </w:rPr>
        <w:t>growth</w:t>
      </w:r>
      <w:r>
        <w:rPr>
          <w:sz w:val="24"/>
          <w:szCs w:val="24"/>
        </w:rPr>
        <w:t xml:space="preserve">, such as public speaking, exhibit design, conservation involvement, and project </w:t>
      </w:r>
      <w:r w:rsidR="00680954">
        <w:rPr>
          <w:sz w:val="24"/>
          <w:szCs w:val="24"/>
        </w:rPr>
        <w:t>development</w:t>
      </w:r>
      <w:r>
        <w:rPr>
          <w:sz w:val="24"/>
          <w:szCs w:val="24"/>
        </w:rPr>
        <w:t>.</w:t>
      </w:r>
    </w:p>
    <w:p w:rsidR="00F8773F" w:rsidRDefault="00F8773F">
      <w:pPr>
        <w:rPr>
          <w:sz w:val="24"/>
          <w:szCs w:val="24"/>
        </w:rPr>
      </w:pPr>
      <w:r>
        <w:rPr>
          <w:sz w:val="24"/>
          <w:szCs w:val="24"/>
        </w:rPr>
        <w:t>All topics are aimed at advancing professionalism and optimal well-being in the animal care field.</w:t>
      </w:r>
    </w:p>
    <w:p w:rsidR="00F8773F" w:rsidRDefault="00F8773F">
      <w:pPr>
        <w:rPr>
          <w:sz w:val="24"/>
          <w:szCs w:val="24"/>
        </w:rPr>
      </w:pPr>
      <w:r>
        <w:rPr>
          <w:b/>
          <w:sz w:val="24"/>
          <w:szCs w:val="24"/>
        </w:rPr>
        <w:t xml:space="preserve">How </w:t>
      </w:r>
      <w:proofErr w:type="gramStart"/>
      <w:r>
        <w:rPr>
          <w:b/>
          <w:sz w:val="24"/>
          <w:szCs w:val="24"/>
        </w:rPr>
        <w:t>To</w:t>
      </w:r>
      <w:proofErr w:type="gramEnd"/>
      <w:r>
        <w:rPr>
          <w:b/>
          <w:sz w:val="24"/>
          <w:szCs w:val="24"/>
        </w:rPr>
        <w:t xml:space="preserve"> Participate:</w:t>
      </w:r>
    </w:p>
    <w:p w:rsidR="00F8773F" w:rsidRPr="00A75D1F" w:rsidRDefault="00F8773F" w:rsidP="00A75D1F">
      <w:pPr>
        <w:pStyle w:val="ListParagraph"/>
        <w:numPr>
          <w:ilvl w:val="0"/>
          <w:numId w:val="1"/>
        </w:numPr>
        <w:rPr>
          <w:sz w:val="24"/>
          <w:szCs w:val="24"/>
        </w:rPr>
      </w:pPr>
      <w:r w:rsidRPr="00A75D1F">
        <w:rPr>
          <w:sz w:val="24"/>
          <w:szCs w:val="24"/>
        </w:rPr>
        <w:t xml:space="preserve">Institutions that would like to request a Teaching Program must contact the </w:t>
      </w:r>
      <w:r w:rsidR="00AC768A" w:rsidRPr="00A75D1F">
        <w:rPr>
          <w:sz w:val="24"/>
          <w:szCs w:val="24"/>
        </w:rPr>
        <w:t xml:space="preserve">AAZK </w:t>
      </w:r>
      <w:r w:rsidRPr="00A75D1F">
        <w:rPr>
          <w:sz w:val="24"/>
          <w:szCs w:val="24"/>
        </w:rPr>
        <w:t xml:space="preserve">IOC Chair, Yvette Kemp at </w:t>
      </w:r>
      <w:hyperlink r:id="rId8" w:history="1">
        <w:r w:rsidRPr="00A75D1F">
          <w:rPr>
            <w:rStyle w:val="Hyperlink"/>
            <w:sz w:val="24"/>
            <w:szCs w:val="24"/>
          </w:rPr>
          <w:t>Yvette.Kemp@aazk.org</w:t>
        </w:r>
      </w:hyperlink>
      <w:r w:rsidRPr="00A75D1F">
        <w:rPr>
          <w:sz w:val="24"/>
          <w:szCs w:val="24"/>
        </w:rPr>
        <w:t>, to dis</w:t>
      </w:r>
      <w:r w:rsidR="00496267" w:rsidRPr="00A75D1F">
        <w:rPr>
          <w:sz w:val="24"/>
          <w:szCs w:val="24"/>
        </w:rPr>
        <w:t>cuss program needs.</w:t>
      </w:r>
    </w:p>
    <w:p w:rsidR="00F8773F" w:rsidRPr="00A75D1F" w:rsidRDefault="00F8773F" w:rsidP="00A75D1F">
      <w:pPr>
        <w:pStyle w:val="ListParagraph"/>
        <w:numPr>
          <w:ilvl w:val="0"/>
          <w:numId w:val="1"/>
        </w:numPr>
        <w:rPr>
          <w:sz w:val="24"/>
          <w:szCs w:val="24"/>
        </w:rPr>
      </w:pPr>
      <w:r w:rsidRPr="00A75D1F">
        <w:rPr>
          <w:sz w:val="24"/>
          <w:szCs w:val="24"/>
        </w:rPr>
        <w:t xml:space="preserve">Information such as </w:t>
      </w:r>
      <w:r w:rsidR="002570C9" w:rsidRPr="00A75D1F">
        <w:rPr>
          <w:sz w:val="24"/>
          <w:szCs w:val="24"/>
        </w:rPr>
        <w:t>program date</w:t>
      </w:r>
      <w:r w:rsidRPr="00A75D1F">
        <w:rPr>
          <w:sz w:val="24"/>
          <w:szCs w:val="24"/>
        </w:rPr>
        <w:t xml:space="preserve">, </w:t>
      </w:r>
      <w:r w:rsidR="008D66B8" w:rsidRPr="00A75D1F">
        <w:rPr>
          <w:sz w:val="24"/>
          <w:szCs w:val="24"/>
        </w:rPr>
        <w:t xml:space="preserve">topics, </w:t>
      </w:r>
      <w:r w:rsidRPr="00A75D1F">
        <w:rPr>
          <w:sz w:val="24"/>
          <w:szCs w:val="24"/>
        </w:rPr>
        <w:t xml:space="preserve">and location must be </w:t>
      </w:r>
      <w:r w:rsidR="002570C9" w:rsidRPr="00A75D1F">
        <w:rPr>
          <w:sz w:val="24"/>
          <w:szCs w:val="24"/>
        </w:rPr>
        <w:t xml:space="preserve">looked at and decided by both parties. It is recommended that the requesting institution </w:t>
      </w:r>
      <w:r w:rsidR="008D66B8" w:rsidRPr="00A75D1F">
        <w:rPr>
          <w:sz w:val="24"/>
          <w:szCs w:val="24"/>
        </w:rPr>
        <w:t xml:space="preserve">decide on several </w:t>
      </w:r>
      <w:r w:rsidR="008D66B8" w:rsidRPr="00A75D1F">
        <w:rPr>
          <w:sz w:val="24"/>
          <w:szCs w:val="24"/>
        </w:rPr>
        <w:lastRenderedPageBreak/>
        <w:t xml:space="preserve">dates so that the IOC can determine which dates would </w:t>
      </w:r>
      <w:r w:rsidR="00496267" w:rsidRPr="00A75D1F">
        <w:rPr>
          <w:sz w:val="24"/>
          <w:szCs w:val="24"/>
        </w:rPr>
        <w:t>work best for instructors as per topics requested.</w:t>
      </w:r>
    </w:p>
    <w:p w:rsidR="008D66B8" w:rsidRPr="00A75D1F" w:rsidRDefault="008D66B8" w:rsidP="00A75D1F">
      <w:pPr>
        <w:pStyle w:val="ListParagraph"/>
        <w:numPr>
          <w:ilvl w:val="0"/>
          <w:numId w:val="1"/>
        </w:numPr>
        <w:rPr>
          <w:sz w:val="24"/>
          <w:szCs w:val="24"/>
        </w:rPr>
      </w:pPr>
      <w:r w:rsidRPr="00A75D1F">
        <w:rPr>
          <w:sz w:val="24"/>
          <w:szCs w:val="24"/>
        </w:rPr>
        <w:t>The number of attendees able to participate in the Teaching Program will depend on facility availability. It is recommended that the requesting institution have an auditorium style area for general lectures, then several smaller breakout rooms for workshops.</w:t>
      </w:r>
    </w:p>
    <w:p w:rsidR="008D66B8" w:rsidRPr="00A75D1F" w:rsidRDefault="008D66B8" w:rsidP="00A75D1F">
      <w:pPr>
        <w:pStyle w:val="ListParagraph"/>
        <w:numPr>
          <w:ilvl w:val="0"/>
          <w:numId w:val="1"/>
        </w:numPr>
        <w:rPr>
          <w:sz w:val="24"/>
          <w:szCs w:val="24"/>
        </w:rPr>
      </w:pPr>
      <w:r w:rsidRPr="00A75D1F">
        <w:rPr>
          <w:sz w:val="24"/>
          <w:szCs w:val="24"/>
        </w:rPr>
        <w:t xml:space="preserve">The auditorium should be comfortable enough for </w:t>
      </w:r>
      <w:r w:rsidR="00496267" w:rsidRPr="00A75D1F">
        <w:rPr>
          <w:sz w:val="24"/>
          <w:szCs w:val="24"/>
        </w:rPr>
        <w:t xml:space="preserve">all </w:t>
      </w:r>
      <w:r w:rsidRPr="00A75D1F">
        <w:rPr>
          <w:sz w:val="24"/>
          <w:szCs w:val="24"/>
        </w:rPr>
        <w:t xml:space="preserve">attendees to be able to </w:t>
      </w:r>
      <w:r w:rsidR="00496267" w:rsidRPr="00A75D1F">
        <w:rPr>
          <w:sz w:val="24"/>
          <w:szCs w:val="24"/>
        </w:rPr>
        <w:t xml:space="preserve">take notes and participate, </w:t>
      </w:r>
      <w:r w:rsidRPr="00A75D1F">
        <w:rPr>
          <w:sz w:val="24"/>
          <w:szCs w:val="24"/>
        </w:rPr>
        <w:t xml:space="preserve">have the ability to </w:t>
      </w:r>
      <w:r w:rsidR="00F61C1C">
        <w:rPr>
          <w:sz w:val="24"/>
          <w:szCs w:val="24"/>
        </w:rPr>
        <w:t>offer</w:t>
      </w:r>
      <w:r w:rsidRPr="00A75D1F">
        <w:rPr>
          <w:sz w:val="24"/>
          <w:szCs w:val="24"/>
        </w:rPr>
        <w:t xml:space="preserve"> PowerPoint </w:t>
      </w:r>
      <w:r w:rsidR="00F61C1C">
        <w:rPr>
          <w:sz w:val="24"/>
          <w:szCs w:val="24"/>
        </w:rPr>
        <w:t xml:space="preserve">(PPT) </w:t>
      </w:r>
      <w:r w:rsidRPr="00A75D1F">
        <w:rPr>
          <w:sz w:val="24"/>
          <w:szCs w:val="24"/>
        </w:rPr>
        <w:t>presentations</w:t>
      </w:r>
      <w:r w:rsidR="00496267" w:rsidRPr="00A75D1F">
        <w:rPr>
          <w:sz w:val="24"/>
          <w:szCs w:val="24"/>
        </w:rPr>
        <w:t>,</w:t>
      </w:r>
      <w:r w:rsidRPr="00A75D1F">
        <w:rPr>
          <w:sz w:val="24"/>
          <w:szCs w:val="24"/>
        </w:rPr>
        <w:t xml:space="preserve"> and </w:t>
      </w:r>
      <w:r w:rsidR="00496267" w:rsidRPr="00A75D1F">
        <w:rPr>
          <w:sz w:val="24"/>
          <w:szCs w:val="24"/>
        </w:rPr>
        <w:t xml:space="preserve">have an </w:t>
      </w:r>
      <w:r w:rsidRPr="00A75D1F">
        <w:rPr>
          <w:sz w:val="24"/>
          <w:szCs w:val="24"/>
        </w:rPr>
        <w:t>adequate sound</w:t>
      </w:r>
      <w:r w:rsidR="00680954" w:rsidRPr="00A75D1F">
        <w:rPr>
          <w:sz w:val="24"/>
          <w:szCs w:val="24"/>
        </w:rPr>
        <w:t xml:space="preserve"> system </w:t>
      </w:r>
      <w:r w:rsidR="00496267" w:rsidRPr="00A75D1F">
        <w:rPr>
          <w:sz w:val="24"/>
          <w:szCs w:val="24"/>
        </w:rPr>
        <w:t>(either by using a</w:t>
      </w:r>
      <w:r w:rsidR="00AC768A" w:rsidRPr="00A75D1F">
        <w:rPr>
          <w:sz w:val="24"/>
          <w:szCs w:val="24"/>
        </w:rPr>
        <w:t xml:space="preserve">n integrated </w:t>
      </w:r>
      <w:r w:rsidR="00496267" w:rsidRPr="00A75D1F">
        <w:rPr>
          <w:sz w:val="24"/>
          <w:szCs w:val="24"/>
        </w:rPr>
        <w:t>sound</w:t>
      </w:r>
      <w:r w:rsidRPr="00A75D1F">
        <w:rPr>
          <w:sz w:val="24"/>
          <w:szCs w:val="24"/>
        </w:rPr>
        <w:t xml:space="preserve"> system</w:t>
      </w:r>
      <w:r w:rsidR="00496267" w:rsidRPr="00A75D1F">
        <w:rPr>
          <w:sz w:val="24"/>
          <w:szCs w:val="24"/>
        </w:rPr>
        <w:t xml:space="preserve"> or voice projection)</w:t>
      </w:r>
      <w:r w:rsidRPr="00A75D1F">
        <w:rPr>
          <w:sz w:val="24"/>
          <w:szCs w:val="24"/>
        </w:rPr>
        <w:t>.</w:t>
      </w:r>
    </w:p>
    <w:p w:rsidR="00496267" w:rsidRPr="00A75D1F" w:rsidRDefault="00496267" w:rsidP="00A75D1F">
      <w:pPr>
        <w:pStyle w:val="ListParagraph"/>
        <w:numPr>
          <w:ilvl w:val="0"/>
          <w:numId w:val="1"/>
        </w:numPr>
        <w:rPr>
          <w:sz w:val="24"/>
          <w:szCs w:val="24"/>
        </w:rPr>
      </w:pPr>
      <w:r w:rsidRPr="00A75D1F">
        <w:rPr>
          <w:sz w:val="24"/>
          <w:szCs w:val="24"/>
        </w:rPr>
        <w:t xml:space="preserve">Workshop breakout rooms should be able to comfortably accommodate 25-30 attendees and have PPT capabilities if needed. It is recommended that workshop sizes be smaller so as to provide a better hands on and/or one-on-one ability. </w:t>
      </w:r>
    </w:p>
    <w:p w:rsidR="00496267" w:rsidRPr="00A75D1F" w:rsidRDefault="00496267" w:rsidP="00A75D1F">
      <w:pPr>
        <w:pStyle w:val="ListParagraph"/>
        <w:numPr>
          <w:ilvl w:val="0"/>
          <w:numId w:val="1"/>
        </w:numPr>
        <w:rPr>
          <w:sz w:val="24"/>
          <w:szCs w:val="24"/>
        </w:rPr>
      </w:pPr>
      <w:r w:rsidRPr="00A75D1F">
        <w:rPr>
          <w:sz w:val="24"/>
          <w:szCs w:val="24"/>
        </w:rPr>
        <w:t>The total number of participates should be dependent on the number of breakout workshop rooms and instructors available per day.</w:t>
      </w:r>
    </w:p>
    <w:p w:rsidR="00496267" w:rsidRPr="00A75D1F" w:rsidRDefault="00496267" w:rsidP="00A75D1F">
      <w:pPr>
        <w:ind w:left="360"/>
        <w:rPr>
          <w:b/>
          <w:sz w:val="24"/>
          <w:szCs w:val="24"/>
        </w:rPr>
      </w:pPr>
      <w:r w:rsidRPr="00A75D1F">
        <w:rPr>
          <w:b/>
          <w:sz w:val="24"/>
          <w:szCs w:val="24"/>
        </w:rPr>
        <w:t>Program Topics:</w:t>
      </w:r>
    </w:p>
    <w:p w:rsidR="00496267" w:rsidRPr="00A75D1F" w:rsidRDefault="00496267" w:rsidP="00A75D1F">
      <w:pPr>
        <w:pStyle w:val="ListParagraph"/>
        <w:numPr>
          <w:ilvl w:val="0"/>
          <w:numId w:val="1"/>
        </w:numPr>
        <w:rPr>
          <w:sz w:val="24"/>
          <w:szCs w:val="24"/>
        </w:rPr>
      </w:pPr>
      <w:r w:rsidRPr="00A75D1F">
        <w:rPr>
          <w:sz w:val="24"/>
          <w:szCs w:val="24"/>
        </w:rPr>
        <w:t xml:space="preserve">AAZK has access to many resources and information available to the Teaching Program. </w:t>
      </w:r>
      <w:r w:rsidR="002742D7" w:rsidRPr="00A75D1F">
        <w:rPr>
          <w:sz w:val="24"/>
          <w:szCs w:val="24"/>
        </w:rPr>
        <w:t>If the requesting institution is</w:t>
      </w:r>
      <w:r w:rsidRPr="00A75D1F">
        <w:rPr>
          <w:sz w:val="24"/>
          <w:szCs w:val="24"/>
        </w:rPr>
        <w:t xml:space="preserve"> interested in specific topics, the IOC will do it’s best to accommodate that request. </w:t>
      </w:r>
    </w:p>
    <w:p w:rsidR="00496267" w:rsidRPr="00A75D1F" w:rsidRDefault="00496267" w:rsidP="00A75D1F">
      <w:pPr>
        <w:pStyle w:val="ListParagraph"/>
        <w:numPr>
          <w:ilvl w:val="0"/>
          <w:numId w:val="1"/>
        </w:numPr>
        <w:rPr>
          <w:sz w:val="24"/>
          <w:szCs w:val="24"/>
        </w:rPr>
      </w:pPr>
      <w:r w:rsidRPr="00A75D1F">
        <w:rPr>
          <w:sz w:val="24"/>
          <w:szCs w:val="24"/>
        </w:rPr>
        <w:t xml:space="preserve">AAZK also has access to its committees, programs, members, and colleagues, all which can be used as resources for the Teaching Program. </w:t>
      </w:r>
      <w:r w:rsidR="002742D7" w:rsidRPr="00A75D1F">
        <w:rPr>
          <w:sz w:val="24"/>
          <w:szCs w:val="24"/>
        </w:rPr>
        <w:t xml:space="preserve">The ability to </w:t>
      </w:r>
      <w:r w:rsidR="00F61C1C">
        <w:rPr>
          <w:sz w:val="24"/>
          <w:szCs w:val="24"/>
        </w:rPr>
        <w:t>offer</w:t>
      </w:r>
      <w:r w:rsidRPr="00A75D1F">
        <w:rPr>
          <w:sz w:val="24"/>
          <w:szCs w:val="24"/>
        </w:rPr>
        <w:t xml:space="preserve"> some topics may be dependent on the availability of </w:t>
      </w:r>
      <w:r w:rsidR="002742D7" w:rsidRPr="00A75D1F">
        <w:rPr>
          <w:sz w:val="24"/>
          <w:szCs w:val="24"/>
        </w:rPr>
        <w:t xml:space="preserve">instructors and/or topic authorities. </w:t>
      </w:r>
    </w:p>
    <w:p w:rsidR="002742D7" w:rsidRDefault="002742D7" w:rsidP="00A75D1F">
      <w:pPr>
        <w:pStyle w:val="ListParagraph"/>
        <w:numPr>
          <w:ilvl w:val="0"/>
          <w:numId w:val="1"/>
        </w:numPr>
        <w:rPr>
          <w:sz w:val="24"/>
          <w:szCs w:val="24"/>
        </w:rPr>
      </w:pPr>
      <w:r w:rsidRPr="00A75D1F">
        <w:rPr>
          <w:sz w:val="24"/>
          <w:szCs w:val="24"/>
        </w:rPr>
        <w:t>The IOC may also recommend topics that may be of interest to the requesting institution.</w:t>
      </w:r>
    </w:p>
    <w:p w:rsidR="0021112C" w:rsidRDefault="00F61C1C" w:rsidP="00A75D1F">
      <w:pPr>
        <w:pStyle w:val="ListParagraph"/>
        <w:numPr>
          <w:ilvl w:val="0"/>
          <w:numId w:val="1"/>
        </w:numPr>
        <w:rPr>
          <w:sz w:val="24"/>
          <w:szCs w:val="24"/>
        </w:rPr>
      </w:pPr>
      <w:r>
        <w:rPr>
          <w:sz w:val="24"/>
          <w:szCs w:val="24"/>
        </w:rPr>
        <w:t xml:space="preserve">The IOC has also developed Program Modules and general topics (listed below) for varying animal care personnel levels of experience. </w:t>
      </w:r>
      <w:r w:rsidR="0021112C">
        <w:rPr>
          <w:sz w:val="24"/>
          <w:szCs w:val="24"/>
        </w:rPr>
        <w:t>Interested institutions can request</w:t>
      </w:r>
    </w:p>
    <w:p w:rsidR="00F61C1C" w:rsidRDefault="0021112C" w:rsidP="0021112C">
      <w:pPr>
        <w:pStyle w:val="ListParagraph"/>
        <w:numPr>
          <w:ilvl w:val="1"/>
          <w:numId w:val="1"/>
        </w:numPr>
        <w:rPr>
          <w:sz w:val="24"/>
          <w:szCs w:val="24"/>
        </w:rPr>
      </w:pPr>
      <w:r>
        <w:rPr>
          <w:sz w:val="24"/>
          <w:szCs w:val="24"/>
        </w:rPr>
        <w:t>1) A</w:t>
      </w:r>
      <w:r w:rsidR="00F61C1C">
        <w:rPr>
          <w:sz w:val="24"/>
          <w:szCs w:val="24"/>
        </w:rPr>
        <w:t xml:space="preserve"> Program Module catered to the institution’s personnel experience </w:t>
      </w:r>
      <w:r>
        <w:rPr>
          <w:sz w:val="24"/>
          <w:szCs w:val="24"/>
        </w:rPr>
        <w:t>level along with general topics,</w:t>
      </w:r>
    </w:p>
    <w:p w:rsidR="0021112C" w:rsidRDefault="0021112C" w:rsidP="0021112C">
      <w:pPr>
        <w:pStyle w:val="ListParagraph"/>
        <w:numPr>
          <w:ilvl w:val="1"/>
          <w:numId w:val="1"/>
        </w:numPr>
        <w:rPr>
          <w:sz w:val="24"/>
          <w:szCs w:val="24"/>
        </w:rPr>
      </w:pPr>
      <w:r>
        <w:rPr>
          <w:sz w:val="24"/>
          <w:szCs w:val="24"/>
        </w:rPr>
        <w:t>2) Specific topics they are interested in, or</w:t>
      </w:r>
    </w:p>
    <w:p w:rsidR="0021112C" w:rsidRPr="00A75D1F" w:rsidRDefault="0021112C" w:rsidP="0021112C">
      <w:pPr>
        <w:pStyle w:val="ListParagraph"/>
        <w:numPr>
          <w:ilvl w:val="1"/>
          <w:numId w:val="1"/>
        </w:numPr>
        <w:rPr>
          <w:sz w:val="24"/>
          <w:szCs w:val="24"/>
        </w:rPr>
      </w:pPr>
      <w:r>
        <w:rPr>
          <w:sz w:val="24"/>
          <w:szCs w:val="24"/>
        </w:rPr>
        <w:t>3) Have the IOC put together a program they believe would be appropriate for the requesting institution.</w:t>
      </w:r>
    </w:p>
    <w:p w:rsidR="002742D7" w:rsidRPr="00A75D1F" w:rsidRDefault="002742D7" w:rsidP="00A75D1F">
      <w:pPr>
        <w:pStyle w:val="ListParagraph"/>
        <w:numPr>
          <w:ilvl w:val="0"/>
          <w:numId w:val="1"/>
        </w:numPr>
        <w:rPr>
          <w:sz w:val="24"/>
          <w:szCs w:val="24"/>
        </w:rPr>
      </w:pPr>
      <w:r w:rsidRPr="00A75D1F">
        <w:rPr>
          <w:sz w:val="24"/>
          <w:szCs w:val="24"/>
        </w:rPr>
        <w:t xml:space="preserve">The </w:t>
      </w:r>
      <w:r w:rsidR="00680954" w:rsidRPr="00A75D1F">
        <w:rPr>
          <w:sz w:val="24"/>
          <w:szCs w:val="24"/>
        </w:rPr>
        <w:t>IOC will also invite colleagues</w:t>
      </w:r>
      <w:r w:rsidRPr="00A75D1F">
        <w:rPr>
          <w:sz w:val="24"/>
          <w:szCs w:val="24"/>
        </w:rPr>
        <w:t xml:space="preserve"> from Mexico, the U.S.</w:t>
      </w:r>
      <w:r w:rsidR="0021112C">
        <w:rPr>
          <w:sz w:val="24"/>
          <w:szCs w:val="24"/>
        </w:rPr>
        <w:t xml:space="preserve">, and other parts of the world </w:t>
      </w:r>
      <w:r w:rsidRPr="00A75D1F">
        <w:rPr>
          <w:sz w:val="24"/>
          <w:szCs w:val="24"/>
        </w:rPr>
        <w:t>to share their expertise and knowledge. The Teaching Program is an opportunity for sharing information and the IOC encourages local animal care providers to participate as presenters in the program.</w:t>
      </w:r>
    </w:p>
    <w:p w:rsidR="002742D7" w:rsidRDefault="002742D7" w:rsidP="00A75D1F">
      <w:pPr>
        <w:pStyle w:val="ListParagraph"/>
        <w:numPr>
          <w:ilvl w:val="0"/>
          <w:numId w:val="1"/>
        </w:numPr>
        <w:rPr>
          <w:sz w:val="24"/>
          <w:szCs w:val="24"/>
        </w:rPr>
      </w:pPr>
      <w:r w:rsidRPr="00A75D1F">
        <w:rPr>
          <w:sz w:val="24"/>
          <w:szCs w:val="24"/>
        </w:rPr>
        <w:t>A final program schedule will be developed by members of the IOC and will be based on host institution needs, instructor availability, and in country keeper participation.</w:t>
      </w:r>
    </w:p>
    <w:p w:rsidR="002742D7" w:rsidRDefault="002742D7">
      <w:pPr>
        <w:rPr>
          <w:sz w:val="24"/>
          <w:szCs w:val="24"/>
        </w:rPr>
      </w:pPr>
      <w:r>
        <w:rPr>
          <w:b/>
          <w:sz w:val="24"/>
          <w:szCs w:val="24"/>
        </w:rPr>
        <w:lastRenderedPageBreak/>
        <w:t>Program Organization:</w:t>
      </w:r>
    </w:p>
    <w:p w:rsidR="002742D7" w:rsidRPr="00A75D1F" w:rsidRDefault="002742D7" w:rsidP="00A75D1F">
      <w:pPr>
        <w:pStyle w:val="ListParagraph"/>
        <w:numPr>
          <w:ilvl w:val="0"/>
          <w:numId w:val="2"/>
        </w:numPr>
        <w:rPr>
          <w:sz w:val="24"/>
          <w:szCs w:val="24"/>
        </w:rPr>
      </w:pPr>
      <w:r w:rsidRPr="00A75D1F">
        <w:rPr>
          <w:sz w:val="24"/>
          <w:szCs w:val="24"/>
        </w:rPr>
        <w:t>The IOC will work with the host institution in t</w:t>
      </w:r>
      <w:r w:rsidR="00F61C1C">
        <w:rPr>
          <w:sz w:val="24"/>
          <w:szCs w:val="24"/>
        </w:rPr>
        <w:t xml:space="preserve">he organization of the program but will be in charge of the final program development. </w:t>
      </w:r>
    </w:p>
    <w:p w:rsidR="00FA7A25" w:rsidRPr="00A75D1F" w:rsidRDefault="00FA7A25" w:rsidP="00A75D1F">
      <w:pPr>
        <w:pStyle w:val="ListParagraph"/>
        <w:numPr>
          <w:ilvl w:val="0"/>
          <w:numId w:val="2"/>
        </w:numPr>
        <w:rPr>
          <w:sz w:val="24"/>
          <w:szCs w:val="24"/>
        </w:rPr>
      </w:pPr>
      <w:r w:rsidRPr="00A75D1F">
        <w:rPr>
          <w:sz w:val="24"/>
          <w:szCs w:val="24"/>
        </w:rPr>
        <w:t xml:space="preserve">The IOC will invite presenters and workshop leaders and determine </w:t>
      </w:r>
      <w:r w:rsidR="00D12942" w:rsidRPr="00A75D1F">
        <w:rPr>
          <w:sz w:val="24"/>
          <w:szCs w:val="24"/>
        </w:rPr>
        <w:t>times needed for each presentation.</w:t>
      </w:r>
    </w:p>
    <w:p w:rsidR="00D12942" w:rsidRPr="00A75D1F" w:rsidRDefault="00D12942" w:rsidP="00A75D1F">
      <w:pPr>
        <w:pStyle w:val="ListParagraph"/>
        <w:numPr>
          <w:ilvl w:val="0"/>
          <w:numId w:val="2"/>
        </w:numPr>
        <w:rPr>
          <w:sz w:val="24"/>
          <w:szCs w:val="24"/>
        </w:rPr>
      </w:pPr>
      <w:r w:rsidRPr="00A75D1F">
        <w:rPr>
          <w:sz w:val="24"/>
          <w:szCs w:val="24"/>
        </w:rPr>
        <w:t xml:space="preserve">The IOC will also provide invitation letters to those participating as instructors or presenters in the program. </w:t>
      </w:r>
    </w:p>
    <w:p w:rsidR="00FA7A25" w:rsidRPr="00A75D1F" w:rsidRDefault="002742D7" w:rsidP="00A75D1F">
      <w:pPr>
        <w:pStyle w:val="ListParagraph"/>
        <w:numPr>
          <w:ilvl w:val="0"/>
          <w:numId w:val="2"/>
        </w:numPr>
        <w:rPr>
          <w:sz w:val="24"/>
          <w:szCs w:val="24"/>
        </w:rPr>
      </w:pPr>
      <w:r w:rsidRPr="00A75D1F">
        <w:rPr>
          <w:sz w:val="24"/>
          <w:szCs w:val="24"/>
        </w:rPr>
        <w:t>A contact person from the hosting institution will need to work with the IOC organizational team. Once program organization has begun, the contact person must be in constant communication with the IOC Program organizers to ensure a successful program.</w:t>
      </w:r>
    </w:p>
    <w:p w:rsidR="006A2AE3" w:rsidRPr="00A75D1F" w:rsidRDefault="006A2AE3" w:rsidP="00A75D1F">
      <w:pPr>
        <w:pStyle w:val="ListParagraph"/>
        <w:numPr>
          <w:ilvl w:val="0"/>
          <w:numId w:val="2"/>
        </w:numPr>
        <w:rPr>
          <w:sz w:val="24"/>
          <w:szCs w:val="24"/>
        </w:rPr>
      </w:pPr>
      <w:r w:rsidRPr="00A75D1F">
        <w:rPr>
          <w:sz w:val="24"/>
          <w:szCs w:val="24"/>
        </w:rPr>
        <w:t>The host institution must determine if the program will be solely for their personnel or if outside personnel will be allowed to participate.</w:t>
      </w:r>
    </w:p>
    <w:p w:rsidR="00FA7A25" w:rsidRPr="00A75D1F" w:rsidRDefault="006A2AE3" w:rsidP="00A75D1F">
      <w:pPr>
        <w:pStyle w:val="ListParagraph"/>
        <w:numPr>
          <w:ilvl w:val="0"/>
          <w:numId w:val="2"/>
        </w:numPr>
        <w:rPr>
          <w:sz w:val="24"/>
          <w:szCs w:val="24"/>
        </w:rPr>
      </w:pPr>
      <w:r w:rsidRPr="00A75D1F">
        <w:rPr>
          <w:sz w:val="24"/>
          <w:szCs w:val="24"/>
        </w:rPr>
        <w:t>If outside personnel are allowed to participate, the host institution must determine how many can participate based on auditorium and workshop capacity. If outside personnel participate, the IOC will handle registration needs. A cost for outside personnel must be determined and funds from their registration will go towards program expenses.</w:t>
      </w:r>
    </w:p>
    <w:p w:rsidR="006A2AE3" w:rsidRDefault="006A2AE3" w:rsidP="006A2AE3">
      <w:pPr>
        <w:rPr>
          <w:sz w:val="24"/>
          <w:szCs w:val="24"/>
        </w:rPr>
      </w:pPr>
      <w:r>
        <w:rPr>
          <w:b/>
          <w:sz w:val="24"/>
          <w:szCs w:val="24"/>
        </w:rPr>
        <w:t>Program Expenses:</w:t>
      </w:r>
    </w:p>
    <w:p w:rsidR="00AC768A" w:rsidRPr="00A75D1F" w:rsidRDefault="006A2AE3" w:rsidP="00A75D1F">
      <w:pPr>
        <w:pStyle w:val="ListParagraph"/>
        <w:numPr>
          <w:ilvl w:val="0"/>
          <w:numId w:val="3"/>
        </w:numPr>
        <w:rPr>
          <w:sz w:val="24"/>
          <w:szCs w:val="24"/>
        </w:rPr>
      </w:pPr>
      <w:r w:rsidRPr="00A75D1F">
        <w:rPr>
          <w:sz w:val="24"/>
          <w:szCs w:val="24"/>
        </w:rPr>
        <w:t xml:space="preserve">The IOC </w:t>
      </w:r>
      <w:r w:rsidR="00A75D1F">
        <w:rPr>
          <w:sz w:val="24"/>
          <w:szCs w:val="24"/>
        </w:rPr>
        <w:t>requests</w:t>
      </w:r>
      <w:r w:rsidRPr="00A75D1F">
        <w:rPr>
          <w:sz w:val="24"/>
          <w:szCs w:val="24"/>
        </w:rPr>
        <w:t xml:space="preserve"> that interested institutions cover airfare and accommodation expenses, within reason, for instructors and IOC members. </w:t>
      </w:r>
    </w:p>
    <w:p w:rsidR="0060383D" w:rsidRPr="00A75D1F" w:rsidRDefault="00AC768A" w:rsidP="00A75D1F">
      <w:pPr>
        <w:pStyle w:val="ListParagraph"/>
        <w:numPr>
          <w:ilvl w:val="0"/>
          <w:numId w:val="3"/>
        </w:numPr>
        <w:rPr>
          <w:sz w:val="24"/>
          <w:szCs w:val="24"/>
        </w:rPr>
      </w:pPr>
      <w:r w:rsidRPr="00A75D1F">
        <w:rPr>
          <w:sz w:val="24"/>
          <w:szCs w:val="24"/>
        </w:rPr>
        <w:t xml:space="preserve">The host institution will also cover all expenses involved in the program, such as transportation needs, meals, </w:t>
      </w:r>
      <w:r w:rsidR="0060383D" w:rsidRPr="00A75D1F">
        <w:rPr>
          <w:sz w:val="24"/>
          <w:szCs w:val="24"/>
        </w:rPr>
        <w:t>translators, etc. If it is determined that there will be a registration fee, those funds will be used to assist in covering the program expenses.</w:t>
      </w:r>
    </w:p>
    <w:p w:rsidR="006A2AE3" w:rsidRPr="00A75D1F" w:rsidRDefault="006A2AE3" w:rsidP="00A75D1F">
      <w:pPr>
        <w:pStyle w:val="ListParagraph"/>
        <w:numPr>
          <w:ilvl w:val="1"/>
          <w:numId w:val="3"/>
        </w:numPr>
        <w:rPr>
          <w:sz w:val="24"/>
          <w:szCs w:val="24"/>
        </w:rPr>
      </w:pPr>
      <w:r w:rsidRPr="00A75D1F">
        <w:rPr>
          <w:sz w:val="24"/>
          <w:szCs w:val="24"/>
        </w:rPr>
        <w:t>Something to keep in mind for the hosting institution: if there are many attendees and many workshops are needed to divide participants into smaller groups, more instructors will be needed thus increasing their cost.</w:t>
      </w:r>
    </w:p>
    <w:p w:rsidR="006A2AE3" w:rsidRPr="00A75D1F" w:rsidRDefault="006A2AE3" w:rsidP="00A75D1F">
      <w:pPr>
        <w:pStyle w:val="ListParagraph"/>
        <w:numPr>
          <w:ilvl w:val="0"/>
          <w:numId w:val="3"/>
        </w:numPr>
        <w:rPr>
          <w:sz w:val="24"/>
          <w:szCs w:val="24"/>
        </w:rPr>
      </w:pPr>
      <w:r w:rsidRPr="00A75D1F">
        <w:rPr>
          <w:sz w:val="24"/>
          <w:szCs w:val="24"/>
        </w:rPr>
        <w:t>Instructors will be asked to share rooms when appropriate to assist in keeping the hosting institution costs reasonable.</w:t>
      </w:r>
    </w:p>
    <w:p w:rsidR="006A2AE3" w:rsidRPr="00A75D1F" w:rsidRDefault="006A2AE3" w:rsidP="00A75D1F">
      <w:pPr>
        <w:pStyle w:val="ListParagraph"/>
        <w:numPr>
          <w:ilvl w:val="0"/>
          <w:numId w:val="3"/>
        </w:numPr>
        <w:rPr>
          <w:sz w:val="24"/>
          <w:szCs w:val="24"/>
        </w:rPr>
      </w:pPr>
      <w:r w:rsidRPr="00A75D1F">
        <w:rPr>
          <w:sz w:val="24"/>
          <w:szCs w:val="24"/>
        </w:rPr>
        <w:t>The IOC will cover most educational materials, although certain courses may require that the hosting institution cover special materials (i.e. eggs for incubation workshop). The IOC will supply flash drives with program information</w:t>
      </w:r>
      <w:r w:rsidR="00941937">
        <w:rPr>
          <w:sz w:val="24"/>
          <w:szCs w:val="24"/>
        </w:rPr>
        <w:t xml:space="preserve"> when available</w:t>
      </w:r>
      <w:r w:rsidRPr="00A75D1F">
        <w:rPr>
          <w:sz w:val="24"/>
          <w:szCs w:val="24"/>
        </w:rPr>
        <w:t>. An AAZK Certificate of Completion for each of the participants will be distributed at the end of the program.</w:t>
      </w:r>
    </w:p>
    <w:p w:rsidR="006A2AE3" w:rsidRPr="00A75D1F" w:rsidRDefault="006A2AE3" w:rsidP="00A75D1F">
      <w:pPr>
        <w:pStyle w:val="ListParagraph"/>
        <w:numPr>
          <w:ilvl w:val="1"/>
          <w:numId w:val="3"/>
        </w:numPr>
        <w:rPr>
          <w:sz w:val="24"/>
          <w:szCs w:val="24"/>
        </w:rPr>
      </w:pPr>
      <w:r w:rsidRPr="00A75D1F">
        <w:rPr>
          <w:sz w:val="24"/>
          <w:szCs w:val="24"/>
        </w:rPr>
        <w:t xml:space="preserve">Additional giveaways can be decided between the hosting institution and the IOC (i.e. bags, notepads, </w:t>
      </w:r>
      <w:r w:rsidR="00680954" w:rsidRPr="00A75D1F">
        <w:rPr>
          <w:sz w:val="24"/>
          <w:szCs w:val="24"/>
        </w:rPr>
        <w:t xml:space="preserve">t-shirts, </w:t>
      </w:r>
      <w:r w:rsidRPr="00A75D1F">
        <w:rPr>
          <w:sz w:val="24"/>
          <w:szCs w:val="24"/>
        </w:rPr>
        <w:t>etc) and can be part of the registration cost negotiation.</w:t>
      </w:r>
    </w:p>
    <w:p w:rsidR="006A2AE3" w:rsidRPr="00A75D1F" w:rsidRDefault="006A2AE3" w:rsidP="00A75D1F">
      <w:pPr>
        <w:pStyle w:val="ListParagraph"/>
        <w:numPr>
          <w:ilvl w:val="0"/>
          <w:numId w:val="3"/>
        </w:numPr>
        <w:rPr>
          <w:sz w:val="24"/>
          <w:szCs w:val="24"/>
        </w:rPr>
      </w:pPr>
      <w:r w:rsidRPr="00A75D1F">
        <w:rPr>
          <w:sz w:val="24"/>
          <w:szCs w:val="24"/>
        </w:rPr>
        <w:lastRenderedPageBreak/>
        <w:t>Dependent on instructors, ther</w:t>
      </w:r>
      <w:r w:rsidR="0060383D" w:rsidRPr="00A75D1F">
        <w:rPr>
          <w:sz w:val="24"/>
          <w:szCs w:val="24"/>
        </w:rPr>
        <w:t>e may be a need for translators</w:t>
      </w:r>
      <w:r w:rsidR="00941937">
        <w:rPr>
          <w:sz w:val="24"/>
          <w:szCs w:val="24"/>
        </w:rPr>
        <w:t xml:space="preserve">. To keep translation </w:t>
      </w:r>
      <w:r w:rsidRPr="00A75D1F">
        <w:rPr>
          <w:sz w:val="24"/>
          <w:szCs w:val="24"/>
        </w:rPr>
        <w:t xml:space="preserve">costs to a minimum, </w:t>
      </w:r>
      <w:r w:rsidR="00941937">
        <w:rPr>
          <w:sz w:val="24"/>
          <w:szCs w:val="24"/>
        </w:rPr>
        <w:t xml:space="preserve">IOC program organizers </w:t>
      </w:r>
      <w:r w:rsidRPr="00A75D1F">
        <w:rPr>
          <w:sz w:val="24"/>
          <w:szCs w:val="24"/>
        </w:rPr>
        <w:t>will attempt to place all instructors in need of translators on the same day.</w:t>
      </w:r>
    </w:p>
    <w:p w:rsidR="00AC768A" w:rsidRPr="00A75D1F" w:rsidRDefault="006A2AE3" w:rsidP="00A75D1F">
      <w:pPr>
        <w:pStyle w:val="ListParagraph"/>
        <w:numPr>
          <w:ilvl w:val="0"/>
          <w:numId w:val="3"/>
        </w:numPr>
        <w:rPr>
          <w:sz w:val="24"/>
          <w:szCs w:val="24"/>
        </w:rPr>
      </w:pPr>
      <w:r w:rsidRPr="00A75D1F">
        <w:rPr>
          <w:sz w:val="24"/>
          <w:szCs w:val="24"/>
        </w:rPr>
        <w:t xml:space="preserve">Examples of expenses </w:t>
      </w:r>
      <w:r w:rsidR="00AC768A" w:rsidRPr="00A75D1F">
        <w:rPr>
          <w:sz w:val="24"/>
          <w:szCs w:val="24"/>
        </w:rPr>
        <w:t>are as follows:</w:t>
      </w:r>
      <w:r w:rsidR="00AC768A" w:rsidRPr="00A75D1F">
        <w:rPr>
          <w:sz w:val="24"/>
          <w:szCs w:val="24"/>
        </w:rPr>
        <w:br/>
        <w:t xml:space="preserve">Transportation to and from the hotel to the zoo for 5 days: $29,000 MX pesos ($1,483 US </w:t>
      </w:r>
      <w:proofErr w:type="spellStart"/>
      <w:r w:rsidR="00AC768A" w:rsidRPr="00A75D1F">
        <w:rPr>
          <w:sz w:val="24"/>
          <w:szCs w:val="24"/>
        </w:rPr>
        <w:t>dllrs</w:t>
      </w:r>
      <w:proofErr w:type="spellEnd"/>
      <w:r w:rsidR="00AC768A" w:rsidRPr="00A75D1F">
        <w:rPr>
          <w:sz w:val="24"/>
          <w:szCs w:val="24"/>
        </w:rPr>
        <w:t>)</w:t>
      </w:r>
      <w:r w:rsidR="00AC768A" w:rsidRPr="00A75D1F">
        <w:rPr>
          <w:sz w:val="24"/>
          <w:szCs w:val="24"/>
        </w:rPr>
        <w:br/>
        <w:t xml:space="preserve">Translation equipment for 1 day: $2,784 MX pesos ($142 US </w:t>
      </w:r>
      <w:proofErr w:type="spellStart"/>
      <w:r w:rsidR="00AC768A" w:rsidRPr="00A75D1F">
        <w:rPr>
          <w:sz w:val="24"/>
          <w:szCs w:val="24"/>
        </w:rPr>
        <w:t>dllrs</w:t>
      </w:r>
      <w:proofErr w:type="spellEnd"/>
      <w:r w:rsidR="00AC768A" w:rsidRPr="00A75D1F">
        <w:rPr>
          <w:sz w:val="24"/>
          <w:szCs w:val="24"/>
        </w:rPr>
        <w:t>)</w:t>
      </w:r>
      <w:r w:rsidR="00AC768A" w:rsidRPr="00A75D1F">
        <w:rPr>
          <w:sz w:val="24"/>
          <w:szCs w:val="24"/>
        </w:rPr>
        <w:br/>
        <w:t>Lunch for 80 people for 5 days: $40,629 MX pesos ($2,0</w:t>
      </w:r>
      <w:r w:rsidR="00941937">
        <w:rPr>
          <w:sz w:val="24"/>
          <w:szCs w:val="24"/>
        </w:rPr>
        <w:t xml:space="preserve">76 US </w:t>
      </w:r>
      <w:proofErr w:type="spellStart"/>
      <w:r w:rsidR="00941937">
        <w:rPr>
          <w:sz w:val="24"/>
          <w:szCs w:val="24"/>
        </w:rPr>
        <w:t>dllrs</w:t>
      </w:r>
      <w:proofErr w:type="spellEnd"/>
      <w:r w:rsidR="00941937">
        <w:rPr>
          <w:sz w:val="24"/>
          <w:szCs w:val="24"/>
        </w:rPr>
        <w:t>)</w:t>
      </w:r>
      <w:r w:rsidR="00941937">
        <w:rPr>
          <w:sz w:val="24"/>
          <w:szCs w:val="24"/>
        </w:rPr>
        <w:br/>
        <w:t>Name tags, certificate printing</w:t>
      </w:r>
      <w:r w:rsidR="00AC768A" w:rsidRPr="00A75D1F">
        <w:rPr>
          <w:sz w:val="24"/>
          <w:szCs w:val="24"/>
        </w:rPr>
        <w:t>: $1,38</w:t>
      </w:r>
      <w:r w:rsidR="00941937">
        <w:rPr>
          <w:sz w:val="24"/>
          <w:szCs w:val="24"/>
        </w:rPr>
        <w:t>0</w:t>
      </w:r>
      <w:r w:rsidR="00AC768A" w:rsidRPr="00A75D1F">
        <w:rPr>
          <w:sz w:val="24"/>
          <w:szCs w:val="24"/>
        </w:rPr>
        <w:t xml:space="preserve"> MX pesos ($71 US </w:t>
      </w:r>
      <w:proofErr w:type="spellStart"/>
      <w:r w:rsidR="00AC768A" w:rsidRPr="00A75D1F">
        <w:rPr>
          <w:sz w:val="24"/>
          <w:szCs w:val="24"/>
        </w:rPr>
        <w:t>dllrs</w:t>
      </w:r>
      <w:proofErr w:type="spellEnd"/>
      <w:r w:rsidR="00AC768A" w:rsidRPr="00A75D1F">
        <w:rPr>
          <w:sz w:val="24"/>
          <w:szCs w:val="24"/>
        </w:rPr>
        <w:t>)</w:t>
      </w:r>
    </w:p>
    <w:p w:rsidR="00941937" w:rsidRDefault="00941937">
      <w:pPr>
        <w:rPr>
          <w:b/>
          <w:sz w:val="24"/>
          <w:szCs w:val="24"/>
        </w:rPr>
      </w:pPr>
      <w:r>
        <w:rPr>
          <w:b/>
          <w:sz w:val="24"/>
          <w:szCs w:val="24"/>
        </w:rPr>
        <w:t>IOC Program Modules and Additional Courses:</w:t>
      </w:r>
    </w:p>
    <w:p w:rsidR="00941937" w:rsidRDefault="00941937">
      <w:pPr>
        <w:rPr>
          <w:sz w:val="24"/>
          <w:szCs w:val="24"/>
        </w:rPr>
      </w:pPr>
      <w:r>
        <w:rPr>
          <w:sz w:val="24"/>
          <w:szCs w:val="24"/>
        </w:rPr>
        <w:t xml:space="preserve">The IOC has developed Program Modules geared towards animal care professionals of varying experience levels. The following demonstrates </w:t>
      </w:r>
      <w:r w:rsidRPr="00296E40">
        <w:rPr>
          <w:b/>
          <w:sz w:val="24"/>
          <w:szCs w:val="24"/>
        </w:rPr>
        <w:t>some</w:t>
      </w:r>
      <w:r>
        <w:rPr>
          <w:sz w:val="24"/>
          <w:szCs w:val="24"/>
        </w:rPr>
        <w:t xml:space="preserve"> of the courses available in their categories of experience.</w:t>
      </w:r>
      <w:r w:rsidR="00296E40">
        <w:rPr>
          <w:sz w:val="24"/>
          <w:szCs w:val="24"/>
        </w:rPr>
        <w:t xml:space="preserve"> </w:t>
      </w:r>
    </w:p>
    <w:tbl>
      <w:tblPr>
        <w:tblStyle w:val="TableGrid"/>
        <w:tblW w:w="0" w:type="auto"/>
        <w:tblLook w:val="04A0" w:firstRow="1" w:lastRow="0" w:firstColumn="1" w:lastColumn="0" w:noHBand="0" w:noVBand="1"/>
      </w:tblPr>
      <w:tblGrid>
        <w:gridCol w:w="3192"/>
        <w:gridCol w:w="3192"/>
        <w:gridCol w:w="3192"/>
      </w:tblGrid>
      <w:tr w:rsidR="00941937" w:rsidTr="00941937">
        <w:tc>
          <w:tcPr>
            <w:tcW w:w="3192" w:type="dxa"/>
          </w:tcPr>
          <w:p w:rsidR="00941937" w:rsidRPr="00941937" w:rsidRDefault="00941937">
            <w:pPr>
              <w:rPr>
                <w:b/>
                <w:sz w:val="24"/>
                <w:szCs w:val="24"/>
              </w:rPr>
            </w:pPr>
            <w:r w:rsidRPr="00941937">
              <w:rPr>
                <w:b/>
                <w:sz w:val="24"/>
                <w:szCs w:val="24"/>
              </w:rPr>
              <w:t>MODULE 1: Beginners</w:t>
            </w:r>
          </w:p>
        </w:tc>
        <w:tc>
          <w:tcPr>
            <w:tcW w:w="3192" w:type="dxa"/>
          </w:tcPr>
          <w:p w:rsidR="00941937" w:rsidRPr="00941937" w:rsidRDefault="00941937">
            <w:pPr>
              <w:rPr>
                <w:b/>
                <w:sz w:val="24"/>
                <w:szCs w:val="24"/>
              </w:rPr>
            </w:pPr>
            <w:r w:rsidRPr="00941937">
              <w:rPr>
                <w:b/>
                <w:sz w:val="24"/>
                <w:szCs w:val="24"/>
              </w:rPr>
              <w:t>MODULE 2: Intermediate</w:t>
            </w:r>
          </w:p>
        </w:tc>
        <w:tc>
          <w:tcPr>
            <w:tcW w:w="3192" w:type="dxa"/>
          </w:tcPr>
          <w:p w:rsidR="00941937" w:rsidRPr="00941937" w:rsidRDefault="00941937">
            <w:pPr>
              <w:rPr>
                <w:b/>
                <w:sz w:val="24"/>
                <w:szCs w:val="24"/>
              </w:rPr>
            </w:pPr>
            <w:r w:rsidRPr="00941937">
              <w:rPr>
                <w:b/>
                <w:sz w:val="24"/>
                <w:szCs w:val="24"/>
              </w:rPr>
              <w:t>MODULE 3: Advanced</w:t>
            </w:r>
          </w:p>
        </w:tc>
      </w:tr>
      <w:tr w:rsidR="00941937" w:rsidTr="00941937">
        <w:tc>
          <w:tcPr>
            <w:tcW w:w="3192" w:type="dxa"/>
          </w:tcPr>
          <w:p w:rsidR="00941937" w:rsidRDefault="00941937">
            <w:pPr>
              <w:rPr>
                <w:sz w:val="24"/>
                <w:szCs w:val="24"/>
              </w:rPr>
            </w:pPr>
            <w:r>
              <w:rPr>
                <w:sz w:val="24"/>
                <w:szCs w:val="24"/>
              </w:rPr>
              <w:t>Knowledge and Importance of Natural History</w:t>
            </w:r>
          </w:p>
        </w:tc>
        <w:tc>
          <w:tcPr>
            <w:tcW w:w="3192" w:type="dxa"/>
          </w:tcPr>
          <w:p w:rsidR="00941937" w:rsidRDefault="00941937">
            <w:pPr>
              <w:rPr>
                <w:sz w:val="24"/>
                <w:szCs w:val="24"/>
              </w:rPr>
            </w:pPr>
            <w:r>
              <w:rPr>
                <w:sz w:val="24"/>
                <w:szCs w:val="24"/>
              </w:rPr>
              <w:t>Introduction to Animal Welfare</w:t>
            </w:r>
          </w:p>
        </w:tc>
        <w:tc>
          <w:tcPr>
            <w:tcW w:w="3192" w:type="dxa"/>
          </w:tcPr>
          <w:p w:rsidR="00941937" w:rsidRDefault="00941937">
            <w:pPr>
              <w:rPr>
                <w:sz w:val="24"/>
                <w:szCs w:val="24"/>
              </w:rPr>
            </w:pPr>
            <w:r>
              <w:rPr>
                <w:sz w:val="24"/>
                <w:szCs w:val="24"/>
              </w:rPr>
              <w:t>Nutrition</w:t>
            </w:r>
          </w:p>
        </w:tc>
      </w:tr>
      <w:tr w:rsidR="00941937" w:rsidTr="00941937">
        <w:tc>
          <w:tcPr>
            <w:tcW w:w="3192" w:type="dxa"/>
          </w:tcPr>
          <w:p w:rsidR="00941937" w:rsidRDefault="00941937">
            <w:pPr>
              <w:rPr>
                <w:sz w:val="24"/>
                <w:szCs w:val="24"/>
              </w:rPr>
            </w:pPr>
            <w:r>
              <w:rPr>
                <w:sz w:val="24"/>
                <w:szCs w:val="24"/>
              </w:rPr>
              <w:t>The Zoo Keeper’s Role in Animal Welfare</w:t>
            </w:r>
          </w:p>
        </w:tc>
        <w:tc>
          <w:tcPr>
            <w:tcW w:w="3192" w:type="dxa"/>
          </w:tcPr>
          <w:p w:rsidR="00941937" w:rsidRDefault="00941937">
            <w:pPr>
              <w:rPr>
                <w:sz w:val="24"/>
                <w:szCs w:val="24"/>
              </w:rPr>
            </w:pPr>
            <w:r>
              <w:rPr>
                <w:sz w:val="24"/>
                <w:szCs w:val="24"/>
              </w:rPr>
              <w:t>Zoonotic Diseases</w:t>
            </w:r>
          </w:p>
        </w:tc>
        <w:tc>
          <w:tcPr>
            <w:tcW w:w="3192" w:type="dxa"/>
          </w:tcPr>
          <w:p w:rsidR="00941937" w:rsidRDefault="00941937">
            <w:pPr>
              <w:rPr>
                <w:sz w:val="24"/>
                <w:szCs w:val="24"/>
              </w:rPr>
            </w:pPr>
            <w:r>
              <w:rPr>
                <w:sz w:val="24"/>
                <w:szCs w:val="24"/>
              </w:rPr>
              <w:t>Designing Effective Exhibits</w:t>
            </w:r>
          </w:p>
        </w:tc>
      </w:tr>
      <w:tr w:rsidR="00941937" w:rsidTr="00941937">
        <w:tc>
          <w:tcPr>
            <w:tcW w:w="3192" w:type="dxa"/>
          </w:tcPr>
          <w:p w:rsidR="00941937" w:rsidRDefault="00941937">
            <w:pPr>
              <w:rPr>
                <w:sz w:val="24"/>
                <w:szCs w:val="24"/>
              </w:rPr>
            </w:pPr>
            <w:r>
              <w:rPr>
                <w:sz w:val="24"/>
                <w:szCs w:val="24"/>
              </w:rPr>
              <w:t>Record Keeping and Communication</w:t>
            </w:r>
          </w:p>
        </w:tc>
        <w:tc>
          <w:tcPr>
            <w:tcW w:w="3192" w:type="dxa"/>
          </w:tcPr>
          <w:p w:rsidR="00941937" w:rsidRDefault="00941937">
            <w:pPr>
              <w:rPr>
                <w:sz w:val="24"/>
                <w:szCs w:val="24"/>
              </w:rPr>
            </w:pPr>
            <w:r>
              <w:rPr>
                <w:sz w:val="24"/>
                <w:szCs w:val="24"/>
              </w:rPr>
              <w:t>Enrichment</w:t>
            </w:r>
          </w:p>
        </w:tc>
        <w:tc>
          <w:tcPr>
            <w:tcW w:w="3192" w:type="dxa"/>
          </w:tcPr>
          <w:p w:rsidR="00941937" w:rsidRDefault="00296E40">
            <w:pPr>
              <w:rPr>
                <w:sz w:val="24"/>
                <w:szCs w:val="24"/>
              </w:rPr>
            </w:pPr>
            <w:r>
              <w:rPr>
                <w:sz w:val="24"/>
                <w:szCs w:val="24"/>
              </w:rPr>
              <w:t>Keepers and Conservation Programs</w:t>
            </w:r>
          </w:p>
        </w:tc>
      </w:tr>
      <w:tr w:rsidR="00941937" w:rsidTr="00941937">
        <w:tc>
          <w:tcPr>
            <w:tcW w:w="3192" w:type="dxa"/>
          </w:tcPr>
          <w:p w:rsidR="00941937" w:rsidRDefault="00941937">
            <w:pPr>
              <w:rPr>
                <w:sz w:val="24"/>
                <w:szCs w:val="24"/>
              </w:rPr>
            </w:pPr>
            <w:r>
              <w:rPr>
                <w:sz w:val="24"/>
                <w:szCs w:val="24"/>
              </w:rPr>
              <w:t>Handling and Restraining – Basics</w:t>
            </w:r>
          </w:p>
        </w:tc>
        <w:tc>
          <w:tcPr>
            <w:tcW w:w="3192" w:type="dxa"/>
          </w:tcPr>
          <w:p w:rsidR="00941937" w:rsidRDefault="00941937">
            <w:pPr>
              <w:rPr>
                <w:sz w:val="24"/>
                <w:szCs w:val="24"/>
              </w:rPr>
            </w:pPr>
            <w:r>
              <w:rPr>
                <w:sz w:val="24"/>
                <w:szCs w:val="24"/>
              </w:rPr>
              <w:t>Training</w:t>
            </w:r>
          </w:p>
        </w:tc>
        <w:tc>
          <w:tcPr>
            <w:tcW w:w="3192" w:type="dxa"/>
          </w:tcPr>
          <w:p w:rsidR="00941937" w:rsidRDefault="00941937">
            <w:pPr>
              <w:rPr>
                <w:sz w:val="24"/>
                <w:szCs w:val="24"/>
              </w:rPr>
            </w:pPr>
            <w:r>
              <w:rPr>
                <w:sz w:val="24"/>
                <w:szCs w:val="24"/>
              </w:rPr>
              <w:t>Design and Implementation of an Education Program</w:t>
            </w:r>
          </w:p>
        </w:tc>
      </w:tr>
      <w:tr w:rsidR="00941937" w:rsidTr="00941937">
        <w:tc>
          <w:tcPr>
            <w:tcW w:w="3192" w:type="dxa"/>
          </w:tcPr>
          <w:p w:rsidR="00941937" w:rsidRDefault="00941937">
            <w:pPr>
              <w:rPr>
                <w:sz w:val="24"/>
                <w:szCs w:val="24"/>
              </w:rPr>
            </w:pPr>
            <w:r>
              <w:rPr>
                <w:sz w:val="24"/>
                <w:szCs w:val="24"/>
              </w:rPr>
              <w:t>Why We Train</w:t>
            </w:r>
          </w:p>
        </w:tc>
        <w:tc>
          <w:tcPr>
            <w:tcW w:w="3192" w:type="dxa"/>
          </w:tcPr>
          <w:p w:rsidR="00941937" w:rsidRDefault="00941937">
            <w:pPr>
              <w:rPr>
                <w:sz w:val="24"/>
                <w:szCs w:val="24"/>
              </w:rPr>
            </w:pPr>
            <w:r>
              <w:rPr>
                <w:sz w:val="24"/>
                <w:szCs w:val="24"/>
              </w:rPr>
              <w:t>Animal Welfare: How It’s Evaluated</w:t>
            </w:r>
          </w:p>
        </w:tc>
        <w:tc>
          <w:tcPr>
            <w:tcW w:w="3192" w:type="dxa"/>
          </w:tcPr>
          <w:p w:rsidR="00941937" w:rsidRDefault="00941937">
            <w:pPr>
              <w:rPr>
                <w:sz w:val="24"/>
                <w:szCs w:val="24"/>
              </w:rPr>
            </w:pPr>
            <w:r>
              <w:rPr>
                <w:sz w:val="24"/>
                <w:szCs w:val="24"/>
              </w:rPr>
              <w:t>Enhancing Visitor Experiences</w:t>
            </w:r>
          </w:p>
        </w:tc>
      </w:tr>
      <w:tr w:rsidR="00941937" w:rsidTr="00941937">
        <w:tc>
          <w:tcPr>
            <w:tcW w:w="3192" w:type="dxa"/>
          </w:tcPr>
          <w:p w:rsidR="00941937" w:rsidRDefault="00941937">
            <w:pPr>
              <w:rPr>
                <w:sz w:val="24"/>
                <w:szCs w:val="24"/>
              </w:rPr>
            </w:pPr>
            <w:r>
              <w:rPr>
                <w:sz w:val="24"/>
                <w:szCs w:val="24"/>
              </w:rPr>
              <w:t>Enrichment: Do Animals in Captivity Need It?</w:t>
            </w:r>
          </w:p>
        </w:tc>
        <w:tc>
          <w:tcPr>
            <w:tcW w:w="3192" w:type="dxa"/>
          </w:tcPr>
          <w:p w:rsidR="00941937" w:rsidRDefault="00296E40">
            <w:pPr>
              <w:rPr>
                <w:sz w:val="24"/>
                <w:szCs w:val="24"/>
              </w:rPr>
            </w:pPr>
            <w:r>
              <w:rPr>
                <w:sz w:val="24"/>
                <w:szCs w:val="24"/>
              </w:rPr>
              <w:t>The Importance of Conservation Programs</w:t>
            </w:r>
          </w:p>
        </w:tc>
        <w:tc>
          <w:tcPr>
            <w:tcW w:w="3192" w:type="dxa"/>
          </w:tcPr>
          <w:p w:rsidR="00941937" w:rsidRDefault="00941937">
            <w:pPr>
              <w:rPr>
                <w:sz w:val="24"/>
                <w:szCs w:val="24"/>
              </w:rPr>
            </w:pPr>
          </w:p>
        </w:tc>
      </w:tr>
      <w:tr w:rsidR="00941937" w:rsidTr="00941937">
        <w:tc>
          <w:tcPr>
            <w:tcW w:w="3192" w:type="dxa"/>
          </w:tcPr>
          <w:p w:rsidR="00941937" w:rsidRDefault="00941937">
            <w:pPr>
              <w:rPr>
                <w:sz w:val="24"/>
                <w:szCs w:val="24"/>
              </w:rPr>
            </w:pPr>
          </w:p>
        </w:tc>
        <w:tc>
          <w:tcPr>
            <w:tcW w:w="3192" w:type="dxa"/>
          </w:tcPr>
          <w:p w:rsidR="00941937" w:rsidRDefault="00941937">
            <w:pPr>
              <w:rPr>
                <w:sz w:val="24"/>
                <w:szCs w:val="24"/>
              </w:rPr>
            </w:pPr>
          </w:p>
        </w:tc>
        <w:tc>
          <w:tcPr>
            <w:tcW w:w="3192" w:type="dxa"/>
          </w:tcPr>
          <w:p w:rsidR="00941937" w:rsidRDefault="00941937">
            <w:pPr>
              <w:rPr>
                <w:sz w:val="24"/>
                <w:szCs w:val="24"/>
              </w:rPr>
            </w:pPr>
          </w:p>
        </w:tc>
      </w:tr>
      <w:tr w:rsidR="00296E40" w:rsidTr="00C67058">
        <w:tc>
          <w:tcPr>
            <w:tcW w:w="9576" w:type="dxa"/>
            <w:gridSpan w:val="3"/>
          </w:tcPr>
          <w:p w:rsidR="00296E40" w:rsidRPr="00296E40" w:rsidRDefault="00296E40">
            <w:pPr>
              <w:rPr>
                <w:b/>
                <w:sz w:val="24"/>
                <w:szCs w:val="24"/>
              </w:rPr>
            </w:pPr>
            <w:r w:rsidRPr="00296E40">
              <w:rPr>
                <w:b/>
                <w:sz w:val="24"/>
                <w:szCs w:val="24"/>
              </w:rPr>
              <w:t xml:space="preserve">Additional general courses available: </w:t>
            </w:r>
          </w:p>
        </w:tc>
      </w:tr>
      <w:tr w:rsidR="00296E40" w:rsidTr="00A9286A">
        <w:tc>
          <w:tcPr>
            <w:tcW w:w="9576" w:type="dxa"/>
            <w:gridSpan w:val="3"/>
          </w:tcPr>
          <w:p w:rsidR="00296E40" w:rsidRDefault="00296E40">
            <w:pPr>
              <w:rPr>
                <w:sz w:val="24"/>
                <w:szCs w:val="24"/>
              </w:rPr>
            </w:pPr>
            <w:r>
              <w:rPr>
                <w:sz w:val="24"/>
                <w:szCs w:val="24"/>
              </w:rPr>
              <w:t>Social Media and Its Impact</w:t>
            </w:r>
          </w:p>
        </w:tc>
      </w:tr>
      <w:tr w:rsidR="00296E40" w:rsidTr="008A5998">
        <w:tc>
          <w:tcPr>
            <w:tcW w:w="9576" w:type="dxa"/>
            <w:gridSpan w:val="3"/>
          </w:tcPr>
          <w:p w:rsidR="00296E40" w:rsidRDefault="00296E40">
            <w:pPr>
              <w:rPr>
                <w:sz w:val="24"/>
                <w:szCs w:val="24"/>
              </w:rPr>
            </w:pPr>
            <w:r>
              <w:rPr>
                <w:sz w:val="24"/>
                <w:szCs w:val="24"/>
              </w:rPr>
              <w:t>Public Speaking</w:t>
            </w:r>
          </w:p>
        </w:tc>
      </w:tr>
    </w:tbl>
    <w:p w:rsidR="006A2AE3" w:rsidRDefault="00296E40">
      <w:pPr>
        <w:rPr>
          <w:sz w:val="24"/>
          <w:szCs w:val="24"/>
        </w:rPr>
      </w:pPr>
      <w:r>
        <w:rPr>
          <w:sz w:val="24"/>
          <w:szCs w:val="24"/>
        </w:rPr>
        <w:br/>
      </w:r>
      <w:r w:rsidR="00D12942">
        <w:rPr>
          <w:b/>
          <w:sz w:val="24"/>
          <w:szCs w:val="24"/>
        </w:rPr>
        <w:t>Additional I</w:t>
      </w:r>
      <w:r w:rsidR="0060383D">
        <w:rPr>
          <w:b/>
          <w:sz w:val="24"/>
          <w:szCs w:val="24"/>
        </w:rPr>
        <w:t>nformation:</w:t>
      </w:r>
    </w:p>
    <w:p w:rsidR="0060383D" w:rsidRDefault="0060383D">
      <w:pPr>
        <w:rPr>
          <w:sz w:val="24"/>
          <w:szCs w:val="24"/>
        </w:rPr>
      </w:pPr>
      <w:r>
        <w:rPr>
          <w:sz w:val="24"/>
          <w:szCs w:val="24"/>
        </w:rPr>
        <w:t>AAZK’s IOC Teaching Program is geared to</w:t>
      </w:r>
      <w:r w:rsidR="00941937">
        <w:rPr>
          <w:sz w:val="24"/>
          <w:szCs w:val="24"/>
        </w:rPr>
        <w:t>wards</w:t>
      </w:r>
      <w:r>
        <w:rPr>
          <w:sz w:val="24"/>
          <w:szCs w:val="24"/>
        </w:rPr>
        <w:t xml:space="preserve"> keepers of all experience levels.</w:t>
      </w:r>
    </w:p>
    <w:p w:rsidR="0060383D" w:rsidRPr="0060383D" w:rsidRDefault="0060383D">
      <w:pPr>
        <w:rPr>
          <w:sz w:val="24"/>
          <w:szCs w:val="24"/>
        </w:rPr>
      </w:pPr>
      <w:r>
        <w:rPr>
          <w:sz w:val="24"/>
          <w:szCs w:val="24"/>
        </w:rPr>
        <w:t xml:space="preserve">The goal of the program is to provide knowledge to personnel that can </w:t>
      </w:r>
      <w:r w:rsidR="00D12942">
        <w:rPr>
          <w:sz w:val="24"/>
          <w:szCs w:val="24"/>
        </w:rPr>
        <w:t>be applied</w:t>
      </w:r>
      <w:r>
        <w:rPr>
          <w:sz w:val="24"/>
          <w:szCs w:val="24"/>
        </w:rPr>
        <w:t xml:space="preserve"> and adapt</w:t>
      </w:r>
      <w:r w:rsidR="00D12942">
        <w:rPr>
          <w:sz w:val="24"/>
          <w:szCs w:val="24"/>
        </w:rPr>
        <w:t>ed</w:t>
      </w:r>
      <w:r>
        <w:rPr>
          <w:sz w:val="24"/>
          <w:szCs w:val="24"/>
        </w:rPr>
        <w:t xml:space="preserve"> to their daily jobs. The animal care professional is constantly changing and advancing; our goal is to provide the information and resources necessary so that </w:t>
      </w:r>
      <w:r w:rsidR="00D12942">
        <w:rPr>
          <w:sz w:val="24"/>
          <w:szCs w:val="24"/>
        </w:rPr>
        <w:t xml:space="preserve">animal care personnel </w:t>
      </w:r>
      <w:r>
        <w:rPr>
          <w:sz w:val="24"/>
          <w:szCs w:val="24"/>
        </w:rPr>
        <w:t xml:space="preserve">can </w:t>
      </w:r>
      <w:r w:rsidR="00FA7A25">
        <w:rPr>
          <w:sz w:val="24"/>
          <w:szCs w:val="24"/>
        </w:rPr>
        <w:t xml:space="preserve">continue to provide the best </w:t>
      </w:r>
      <w:r w:rsidR="00D12942">
        <w:rPr>
          <w:sz w:val="24"/>
          <w:szCs w:val="24"/>
        </w:rPr>
        <w:t>husbandry</w:t>
      </w:r>
      <w:r w:rsidR="00FA7A25">
        <w:rPr>
          <w:sz w:val="24"/>
          <w:szCs w:val="24"/>
        </w:rPr>
        <w:t xml:space="preserve"> available.</w:t>
      </w:r>
    </w:p>
    <w:sectPr w:rsidR="0060383D" w:rsidRPr="0060383D" w:rsidSect="009A3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E90319"/>
    <w:multiLevelType w:val="hybridMultilevel"/>
    <w:tmpl w:val="FB324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AC3AB6"/>
    <w:multiLevelType w:val="hybridMultilevel"/>
    <w:tmpl w:val="0D38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B907F9"/>
    <w:multiLevelType w:val="hybridMultilevel"/>
    <w:tmpl w:val="395AC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EEF"/>
    <w:rsid w:val="00141736"/>
    <w:rsid w:val="0021112C"/>
    <w:rsid w:val="002570C9"/>
    <w:rsid w:val="002742D7"/>
    <w:rsid w:val="00296E40"/>
    <w:rsid w:val="00373EEF"/>
    <w:rsid w:val="00496267"/>
    <w:rsid w:val="005525B3"/>
    <w:rsid w:val="0060383D"/>
    <w:rsid w:val="00680954"/>
    <w:rsid w:val="006A2AE3"/>
    <w:rsid w:val="00827AB2"/>
    <w:rsid w:val="008D66B8"/>
    <w:rsid w:val="00941937"/>
    <w:rsid w:val="009A35CE"/>
    <w:rsid w:val="00A75D1F"/>
    <w:rsid w:val="00AC768A"/>
    <w:rsid w:val="00D12942"/>
    <w:rsid w:val="00DB7CFC"/>
    <w:rsid w:val="00F61C1C"/>
    <w:rsid w:val="00F8773F"/>
    <w:rsid w:val="00FA7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873F7E-173E-40EF-BA6D-0467C3A1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E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773F"/>
    <w:rPr>
      <w:color w:val="0000FF" w:themeColor="hyperlink"/>
      <w:u w:val="single"/>
    </w:rPr>
  </w:style>
  <w:style w:type="paragraph" w:styleId="ListParagraph">
    <w:name w:val="List Paragraph"/>
    <w:basedOn w:val="Normal"/>
    <w:uiPriority w:val="34"/>
    <w:qFormat/>
    <w:rsid w:val="00A75D1F"/>
    <w:pPr>
      <w:ind w:left="720"/>
      <w:contextualSpacing/>
    </w:pPr>
  </w:style>
  <w:style w:type="table" w:styleId="TableGrid">
    <w:name w:val="Table Grid"/>
    <w:basedOn w:val="TableNormal"/>
    <w:uiPriority w:val="59"/>
    <w:rsid w:val="00941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vette.Kemp@aazk.org"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FED215-5660-4EA4-832C-AEA3D79FC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 kemp</dc:creator>
  <cp:lastModifiedBy>Ed Hansen</cp:lastModifiedBy>
  <cp:revision>2</cp:revision>
  <dcterms:created xsi:type="dcterms:W3CDTF">2018-05-08T20:15:00Z</dcterms:created>
  <dcterms:modified xsi:type="dcterms:W3CDTF">2018-05-08T20:15:00Z</dcterms:modified>
</cp:coreProperties>
</file>